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72B" w:rsidRPr="00E95183" w:rsidRDefault="005F272B" w:rsidP="005F272B">
      <w:pPr>
        <w:pStyle w:val="Betarp"/>
        <w:spacing w:after="160"/>
        <w:rPr>
          <w:rFonts w:ascii="Times New Roman" w:hAnsi="Times New Roman" w:cs="Times New Roman"/>
          <w:b/>
          <w:bCs/>
          <w:sz w:val="28"/>
          <w:szCs w:val="28"/>
        </w:rPr>
      </w:pPr>
      <w:r w:rsidRPr="00E95183">
        <w:rPr>
          <w:rFonts w:ascii="Times New Roman" w:hAnsi="Times New Roman" w:cs="Times New Roman"/>
          <w:bCs/>
          <w:sz w:val="28"/>
          <w:szCs w:val="28"/>
        </w:rPr>
        <w:t xml:space="preserve">Pamoka </w:t>
      </w:r>
      <w:r w:rsidR="00257FD7">
        <w:rPr>
          <w:rFonts w:ascii="Times New Roman" w:hAnsi="Times New Roman" w:cs="Times New Roman"/>
          <w:b/>
          <w:bCs/>
          <w:sz w:val="28"/>
          <w:szCs w:val="28"/>
        </w:rPr>
        <w:t>„Klausimai ir matymai aplink</w:t>
      </w:r>
      <w:bookmarkStart w:id="0" w:name="_GoBack"/>
      <w:bookmarkEnd w:id="0"/>
      <w:r w:rsidRPr="00E95183">
        <w:rPr>
          <w:rFonts w:ascii="Times New Roman" w:hAnsi="Times New Roman" w:cs="Times New Roman"/>
          <w:b/>
          <w:bCs/>
          <w:sz w:val="28"/>
          <w:szCs w:val="28"/>
        </w:rPr>
        <w:t>“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212"/>
        <w:gridCol w:w="7416"/>
      </w:tblGrid>
      <w:tr w:rsidR="005F272B" w:rsidTr="00E95183">
        <w:tc>
          <w:tcPr>
            <w:tcW w:w="2212" w:type="dxa"/>
          </w:tcPr>
          <w:p w:rsidR="005F272B" w:rsidRDefault="005F272B" w:rsidP="004947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Dalykas</w:t>
            </w:r>
          </w:p>
        </w:tc>
        <w:tc>
          <w:tcPr>
            <w:tcW w:w="7416" w:type="dxa"/>
          </w:tcPr>
          <w:p w:rsidR="005F272B" w:rsidRDefault="005F272B" w:rsidP="004947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kalba, fizinis ugdymas</w:t>
            </w:r>
          </w:p>
        </w:tc>
      </w:tr>
      <w:tr w:rsidR="005F272B" w:rsidTr="00E95183">
        <w:tc>
          <w:tcPr>
            <w:tcW w:w="2212" w:type="dxa"/>
          </w:tcPr>
          <w:p w:rsidR="005F272B" w:rsidRDefault="005F272B" w:rsidP="004947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Klasė </w:t>
            </w:r>
          </w:p>
        </w:tc>
        <w:tc>
          <w:tcPr>
            <w:tcW w:w="7416" w:type="dxa"/>
          </w:tcPr>
          <w:p w:rsidR="005F272B" w:rsidRDefault="005F272B" w:rsidP="004947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klasė</w:t>
            </w:r>
          </w:p>
        </w:tc>
      </w:tr>
      <w:tr w:rsidR="005F272B" w:rsidTr="00E95183">
        <w:tc>
          <w:tcPr>
            <w:tcW w:w="2212" w:type="dxa"/>
          </w:tcPr>
          <w:p w:rsidR="005F272B" w:rsidRDefault="005F272B" w:rsidP="004947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Trukmė</w:t>
            </w:r>
          </w:p>
        </w:tc>
        <w:tc>
          <w:tcPr>
            <w:tcW w:w="7416" w:type="dxa"/>
          </w:tcPr>
          <w:p w:rsidR="005F272B" w:rsidRDefault="005F272B" w:rsidP="004947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val.</w:t>
            </w:r>
          </w:p>
        </w:tc>
      </w:tr>
      <w:tr w:rsidR="005F272B" w:rsidTr="00E95183">
        <w:tc>
          <w:tcPr>
            <w:tcW w:w="2212" w:type="dxa"/>
          </w:tcPr>
          <w:p w:rsidR="005F272B" w:rsidRDefault="005F272B" w:rsidP="004947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Vieta - Adresas</w:t>
            </w:r>
          </w:p>
        </w:tc>
        <w:tc>
          <w:tcPr>
            <w:tcW w:w="7416" w:type="dxa"/>
          </w:tcPr>
          <w:p w:rsidR="005F272B" w:rsidRPr="00131605" w:rsidRDefault="005F272B" w:rsidP="004947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Karaliaus Mindaugo tiltas –</w:t>
            </w:r>
            <w:r w:rsidRPr="00131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Katedros aikštė </w:t>
            </w:r>
          </w:p>
        </w:tc>
      </w:tr>
      <w:tr w:rsidR="005F272B" w:rsidTr="00E95183">
        <w:tc>
          <w:tcPr>
            <w:tcW w:w="2212" w:type="dxa"/>
          </w:tcPr>
          <w:p w:rsidR="005F272B" w:rsidRDefault="005F272B" w:rsidP="004947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Lauke/ Viduje</w:t>
            </w:r>
          </w:p>
        </w:tc>
        <w:tc>
          <w:tcPr>
            <w:tcW w:w="7416" w:type="dxa"/>
          </w:tcPr>
          <w:p w:rsidR="005F272B" w:rsidRDefault="005F272B" w:rsidP="004947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Lauke</w:t>
            </w:r>
          </w:p>
        </w:tc>
      </w:tr>
      <w:tr w:rsidR="005F272B" w:rsidTr="00E95183">
        <w:tc>
          <w:tcPr>
            <w:tcW w:w="2212" w:type="dxa"/>
          </w:tcPr>
          <w:p w:rsidR="005F272B" w:rsidRDefault="005F272B" w:rsidP="004947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Maksimalus dalyvių skaičius</w:t>
            </w:r>
          </w:p>
        </w:tc>
        <w:tc>
          <w:tcPr>
            <w:tcW w:w="7416" w:type="dxa"/>
          </w:tcPr>
          <w:p w:rsidR="005F272B" w:rsidRDefault="005F272B" w:rsidP="004947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Neribojamas</w:t>
            </w:r>
          </w:p>
        </w:tc>
      </w:tr>
      <w:tr w:rsidR="005F272B" w:rsidTr="00E95183">
        <w:tc>
          <w:tcPr>
            <w:tcW w:w="2212" w:type="dxa"/>
          </w:tcPr>
          <w:p w:rsidR="005F272B" w:rsidRDefault="005F272B" w:rsidP="004947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Pamoką veda</w:t>
            </w:r>
          </w:p>
        </w:tc>
        <w:tc>
          <w:tcPr>
            <w:tcW w:w="7416" w:type="dxa"/>
          </w:tcPr>
          <w:p w:rsidR="005F272B" w:rsidRDefault="005F272B" w:rsidP="004947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Klasės mokytojas</w:t>
            </w:r>
          </w:p>
        </w:tc>
      </w:tr>
      <w:tr w:rsidR="005F272B" w:rsidTr="00E95183">
        <w:tc>
          <w:tcPr>
            <w:tcW w:w="2212" w:type="dxa"/>
          </w:tcPr>
          <w:p w:rsidR="005F272B" w:rsidRDefault="005F272B" w:rsidP="004947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Registracija</w:t>
            </w:r>
          </w:p>
        </w:tc>
        <w:tc>
          <w:tcPr>
            <w:tcW w:w="7416" w:type="dxa"/>
          </w:tcPr>
          <w:p w:rsidR="005F272B" w:rsidRDefault="005F272B" w:rsidP="004947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Nebūtina</w:t>
            </w:r>
          </w:p>
        </w:tc>
      </w:tr>
      <w:tr w:rsidR="005F272B" w:rsidTr="00E95183">
        <w:tc>
          <w:tcPr>
            <w:tcW w:w="2212" w:type="dxa"/>
          </w:tcPr>
          <w:p w:rsidR="005F272B" w:rsidRPr="00D01AE4" w:rsidRDefault="005F272B" w:rsidP="0049475A">
            <w:pPr>
              <w:spacing w:line="276" w:lineRule="auto"/>
              <w:rPr>
                <w:rFonts w:ascii="Times New Roman" w:hAnsi="Times New Roman" w:cs="Times New Roman"/>
                <w:color w:val="E7E6E6" w:themeColor="background2"/>
                <w:sz w:val="24"/>
                <w:szCs w:val="24"/>
              </w:rPr>
            </w:pPr>
          </w:p>
        </w:tc>
        <w:tc>
          <w:tcPr>
            <w:tcW w:w="7416" w:type="dxa"/>
          </w:tcPr>
          <w:p w:rsidR="005F272B" w:rsidRPr="00D01AE4" w:rsidRDefault="005F272B" w:rsidP="0049475A">
            <w:pPr>
              <w:spacing w:line="276" w:lineRule="auto"/>
              <w:rPr>
                <w:rFonts w:ascii="Times New Roman" w:hAnsi="Times New Roman" w:cs="Times New Roman"/>
                <w:color w:val="E7E6E6" w:themeColor="background2"/>
                <w:sz w:val="24"/>
                <w:szCs w:val="24"/>
              </w:rPr>
            </w:pPr>
          </w:p>
        </w:tc>
      </w:tr>
      <w:tr w:rsidR="005F272B" w:rsidTr="00E95183">
        <w:tc>
          <w:tcPr>
            <w:tcW w:w="2212" w:type="dxa"/>
          </w:tcPr>
          <w:p w:rsidR="005F272B" w:rsidRDefault="005F272B" w:rsidP="004947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Pamokos tema</w:t>
            </w:r>
          </w:p>
        </w:tc>
        <w:tc>
          <w:tcPr>
            <w:tcW w:w="7416" w:type="dxa"/>
          </w:tcPr>
          <w:p w:rsidR="005F272B" w:rsidRPr="005F272B" w:rsidRDefault="005F272B" w:rsidP="005F272B">
            <w:pPr>
              <w:pStyle w:val="Betarp"/>
              <w:spacing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7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„Klausimai </w:t>
            </w:r>
            <w:r w:rsidRPr="005F272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ką?,</w:t>
            </w:r>
            <w:r w:rsidRPr="005F27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</w:t>
            </w:r>
            <w:r w:rsidRPr="005F272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o daug?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Vilniaus senamiestyje“</w:t>
            </w:r>
          </w:p>
        </w:tc>
      </w:tr>
      <w:tr w:rsidR="005F272B" w:rsidTr="00E95183">
        <w:tc>
          <w:tcPr>
            <w:tcW w:w="2212" w:type="dxa"/>
          </w:tcPr>
          <w:p w:rsidR="005F272B" w:rsidRDefault="005F272B" w:rsidP="004947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Pamokos tikslas</w:t>
            </w:r>
          </w:p>
        </w:tc>
        <w:tc>
          <w:tcPr>
            <w:tcW w:w="7416" w:type="dxa"/>
          </w:tcPr>
          <w:p w:rsidR="005F272B" w:rsidRDefault="005F272B" w:rsidP="004947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Patyriminio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mokymosi būdu ugdyti mokinių pažintines galias, pastabumą ir įsitraukimą, įtvirtinti žodžių, atsakančių į klausimus ką? ir ko daug? rašybą.</w:t>
            </w:r>
          </w:p>
        </w:tc>
      </w:tr>
      <w:tr w:rsidR="005F272B" w:rsidTr="00E95183">
        <w:tc>
          <w:tcPr>
            <w:tcW w:w="2212" w:type="dxa"/>
          </w:tcPr>
          <w:p w:rsidR="005F272B" w:rsidRDefault="005F272B" w:rsidP="004947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Pamokos aprašymas </w:t>
            </w:r>
          </w:p>
        </w:tc>
        <w:tc>
          <w:tcPr>
            <w:tcW w:w="7416" w:type="dxa"/>
          </w:tcPr>
          <w:p w:rsidR="005F272B" w:rsidRDefault="005F272B" w:rsidP="004947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Pamoka skirta 1 klasės mokiniams, siekiant paįvairinti ir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sužaidybinti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ugdomąsias veiklas. Pamokoje vyks pasivaikščiojimas po Vilniaus senamiestį, objektų ieškojimas, šalia esančių daiktų įvardinimas, keliant klausimus ką (matau aplink)? ko daug (čia yra)“.</w:t>
            </w:r>
          </w:p>
        </w:tc>
      </w:tr>
      <w:tr w:rsidR="005F272B" w:rsidTr="00E95183">
        <w:tc>
          <w:tcPr>
            <w:tcW w:w="2212" w:type="dxa"/>
          </w:tcPr>
          <w:p w:rsidR="005F272B" w:rsidRDefault="005F272B" w:rsidP="004947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Pamokos planas</w:t>
            </w:r>
          </w:p>
        </w:tc>
        <w:tc>
          <w:tcPr>
            <w:tcW w:w="7416" w:type="dxa"/>
          </w:tcPr>
          <w:p w:rsidR="005F272B" w:rsidRDefault="00AB4246" w:rsidP="004947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Mokiniai klasėje gauna atsitiktine tvarka) dėlionės detales, kiekvienas po vieną detalę. Žiūrėdami į draugų detales, turi sudėlioti paveikslėlius (nuotraukas), kuriose yra: Karaliaus Mindaugo tiltas, Karaliaus Mindaugo paminklas, Gedimino pilis, Gedimino paminklas, Arkikatedra, Arkikatedros varpinė. Tokiu būdu vaikai suskirstomi į grupes, grupės suklijuoja savo dėliones, bando atpažinti ir įvardinti „savo“ objektus, juos pristato klasei. Mokytoja papildo informaciją </w:t>
            </w:r>
            <w:r w:rsidR="007013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(kada pastatytas, kam skirtas, ilgis/aukštis, ar </w:t>
            </w:r>
            <w:r w:rsidR="00E951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pan.)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ir pasako, kad dabar keliaus į miestą ir tas vietas pamatys „gyvai“.</w:t>
            </w:r>
          </w:p>
          <w:p w:rsidR="007013B4" w:rsidRDefault="00AB4246" w:rsidP="004947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Nuo mokyklos (Tuskulėnų g.) mokiniai pėsčiomis keliauja Rinktinės gatve link Mindaugo tilto</w:t>
            </w:r>
            <w:r w:rsidR="007013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Ant tilto ieško daiktų, žodžių, atsakančių į pamokos klausimus </w:t>
            </w:r>
            <w:r w:rsidR="007013B4" w:rsidRPr="00E9518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ką</w:t>
            </w:r>
            <w:r w:rsidR="00E9518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?</w:t>
            </w:r>
            <w:r w:rsidR="007013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ir </w:t>
            </w:r>
            <w:r w:rsidR="007013B4" w:rsidRPr="00E9518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ko daug</w:t>
            </w:r>
            <w:r w:rsidR="007013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? (Ką: tiltą, atramą, upę, vandenį, žolę, ply</w:t>
            </w:r>
            <w:r w:rsidR="00E951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telę, žmogų, vyrą,... Ko daug? </w:t>
            </w:r>
            <w:r w:rsidR="007013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pilių, mašinų, plytelių, bokštų,...). Juos užrašo lape šalia nuotraukos. Toliau keliauja iki Mindaugo paminklo, Gedimino pilies, Gedimino paminklo, Katedros ir Varpinės. Čia taip pat atlieka analogiškas veiklas.</w:t>
            </w:r>
            <w:r w:rsidR="00E951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Kiekviena grupė suskaičiuoja, kiek kiekvienos grupės žodžių pavyko užrašyti.</w:t>
            </w:r>
          </w:p>
          <w:p w:rsidR="00E95183" w:rsidRPr="007013B4" w:rsidRDefault="00E95183" w:rsidP="004947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Mokiniai grįžta į mokyklą. Apibendrinant atsako į klausimą, kas labiausiai pamokoje patiko ir pavyko bei gal eidami atgal „rado“ dar žodžių, atsakančių į nurodytus klausimus (ką? ir ko daug?).</w:t>
            </w:r>
          </w:p>
        </w:tc>
      </w:tr>
      <w:tr w:rsidR="005F272B" w:rsidTr="00E95183">
        <w:tc>
          <w:tcPr>
            <w:tcW w:w="2212" w:type="dxa"/>
          </w:tcPr>
          <w:p w:rsidR="005F272B" w:rsidRDefault="00E95183" w:rsidP="004947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Kompetencijos</w:t>
            </w:r>
          </w:p>
        </w:tc>
        <w:tc>
          <w:tcPr>
            <w:tcW w:w="7416" w:type="dxa"/>
          </w:tcPr>
          <w:p w:rsidR="005F272B" w:rsidRDefault="005F272B" w:rsidP="004947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1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Komunikavimo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451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Kultūrinė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451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Kūrybiškumo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451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Pažinimo</w:t>
            </w:r>
          </w:p>
        </w:tc>
      </w:tr>
      <w:tr w:rsidR="005F272B" w:rsidTr="00E95183">
        <w:tc>
          <w:tcPr>
            <w:tcW w:w="2212" w:type="dxa"/>
          </w:tcPr>
          <w:p w:rsidR="005F272B" w:rsidRDefault="005F272B" w:rsidP="004947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Temos ugdymo programose</w:t>
            </w:r>
          </w:p>
        </w:tc>
        <w:tc>
          <w:tcPr>
            <w:tcW w:w="7416" w:type="dxa"/>
          </w:tcPr>
          <w:p w:rsidR="005F272B" w:rsidRDefault="005F272B" w:rsidP="004947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Žo</w:t>
            </w:r>
            <w:r w:rsidR="00AB4246">
              <w:rPr>
                <w:rFonts w:ascii="Times New Roman" w:hAnsi="Times New Roman" w:cs="Times New Roman"/>
                <w:sz w:val="24"/>
                <w:szCs w:val="24"/>
              </w:rPr>
              <w:t xml:space="preserve">džių, atsakančių į klausimus </w:t>
            </w:r>
            <w:r w:rsidR="00AB4246" w:rsidRPr="00AB4246">
              <w:rPr>
                <w:rFonts w:ascii="Times New Roman" w:hAnsi="Times New Roman" w:cs="Times New Roman"/>
                <w:i/>
                <w:sz w:val="24"/>
                <w:szCs w:val="24"/>
              </w:rPr>
              <w:t>ką?, ko daug?</w:t>
            </w:r>
            <w:r w:rsidR="00AB4246">
              <w:rPr>
                <w:rFonts w:ascii="Times New Roman" w:hAnsi="Times New Roman" w:cs="Times New Roman"/>
                <w:sz w:val="24"/>
                <w:szCs w:val="24"/>
              </w:rPr>
              <w:t xml:space="preserve"> rašyba</w:t>
            </w:r>
          </w:p>
        </w:tc>
      </w:tr>
    </w:tbl>
    <w:p w:rsidR="00392118" w:rsidRDefault="00392118"/>
    <w:sectPr w:rsidR="00392118" w:rsidSect="00051186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72B"/>
    <w:rsid w:val="00051186"/>
    <w:rsid w:val="00257FD7"/>
    <w:rsid w:val="00392118"/>
    <w:rsid w:val="00584240"/>
    <w:rsid w:val="005F272B"/>
    <w:rsid w:val="007013B4"/>
    <w:rsid w:val="00AB4246"/>
    <w:rsid w:val="00E21FE9"/>
    <w:rsid w:val="00E9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086E3"/>
  <w15:chartTrackingRefBased/>
  <w15:docId w15:val="{C2C865B3-EC56-4303-98B3-7069214DB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F272B"/>
    <w:rPr>
      <w:kern w:val="2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5F272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semiHidden/>
    <w:unhideWhenUsed/>
    <w:rsid w:val="005F272B"/>
    <w:rPr>
      <w:color w:val="0000FF"/>
      <w:u w:val="single"/>
    </w:rPr>
  </w:style>
  <w:style w:type="paragraph" w:styleId="Betarp">
    <w:name w:val="No Spacing"/>
    <w:uiPriority w:val="1"/>
    <w:qFormat/>
    <w:rsid w:val="005F272B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1453</Words>
  <Characters>829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Vilniaus "Žiburio" pradinė mokykla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ZiburioPC29</dc:creator>
  <cp:keywords/>
  <dc:description/>
  <cp:lastModifiedBy>ZiburioPC29</cp:lastModifiedBy>
  <cp:revision>4</cp:revision>
  <dcterms:created xsi:type="dcterms:W3CDTF">2024-12-13T10:56:00Z</dcterms:created>
  <dcterms:modified xsi:type="dcterms:W3CDTF">2024-12-18T12:51:00Z</dcterms:modified>
</cp:coreProperties>
</file>